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0022D" w14:textId="421C1F09" w:rsidR="008339DA" w:rsidRDefault="008339DA" w:rsidP="00C659D0">
      <w:pPr>
        <w:pStyle w:val="Titre1"/>
      </w:pPr>
      <w:r>
        <w:t>Mise en service et configuration du contrôleur de charge et de la caméra réseau</w:t>
      </w:r>
    </w:p>
    <w:p w14:paraId="4BDF8565" w14:textId="09C54435" w:rsidR="008339DA" w:rsidRPr="00C659D0" w:rsidRDefault="008339DA">
      <w:pPr>
        <w:rPr>
          <w:rFonts w:asciiTheme="majorHAnsi" w:hAnsiTheme="majorHAnsi" w:cstheme="majorHAnsi"/>
          <w:sz w:val="28"/>
          <w:szCs w:val="28"/>
        </w:rPr>
      </w:pPr>
      <w:r w:rsidRPr="00C659D0">
        <w:rPr>
          <w:rFonts w:asciiTheme="majorHAnsi" w:hAnsiTheme="majorHAnsi" w:cstheme="majorHAnsi"/>
          <w:sz w:val="28"/>
          <w:szCs w:val="28"/>
        </w:rPr>
        <w:t>Objectifs :</w:t>
      </w:r>
      <w:r w:rsidRPr="00C659D0">
        <w:rPr>
          <w:rFonts w:asciiTheme="majorHAnsi" w:hAnsiTheme="majorHAnsi" w:cstheme="majorHAnsi"/>
          <w:sz w:val="28"/>
          <w:szCs w:val="28"/>
        </w:rPr>
        <w:tab/>
        <w:t>Contrôler les grandeurs caractéristiques de l’installation</w:t>
      </w:r>
    </w:p>
    <w:p w14:paraId="6AFC15E8" w14:textId="777CF8E6" w:rsidR="008339DA" w:rsidRPr="00C659D0" w:rsidRDefault="008339DA">
      <w:pPr>
        <w:rPr>
          <w:rFonts w:asciiTheme="majorHAnsi" w:hAnsiTheme="majorHAnsi" w:cstheme="majorHAnsi"/>
          <w:sz w:val="28"/>
          <w:szCs w:val="28"/>
        </w:rPr>
      </w:pPr>
      <w:r w:rsidRPr="00C659D0">
        <w:rPr>
          <w:rFonts w:asciiTheme="majorHAnsi" w:hAnsiTheme="majorHAnsi" w:cstheme="majorHAnsi"/>
          <w:sz w:val="28"/>
          <w:szCs w:val="28"/>
        </w:rPr>
        <w:tab/>
      </w:r>
      <w:r w:rsidRPr="00C659D0">
        <w:rPr>
          <w:rFonts w:asciiTheme="majorHAnsi" w:hAnsiTheme="majorHAnsi" w:cstheme="majorHAnsi"/>
          <w:sz w:val="28"/>
          <w:szCs w:val="28"/>
        </w:rPr>
        <w:tab/>
        <w:t>Régler, paramétrer les matériels de l’installation. Communiquer avec le client/usager sur l’opération</w:t>
      </w:r>
    </w:p>
    <w:p w14:paraId="1065765C" w14:textId="1F7A62FE" w:rsidR="002F277F" w:rsidRPr="00C659D0" w:rsidRDefault="002F277F">
      <w:pPr>
        <w:rPr>
          <w:rFonts w:asciiTheme="majorHAnsi" w:hAnsiTheme="majorHAnsi" w:cstheme="majorHAnsi"/>
          <w:sz w:val="28"/>
          <w:szCs w:val="28"/>
        </w:rPr>
      </w:pPr>
    </w:p>
    <w:p w14:paraId="510F44CA" w14:textId="63AE9C7C" w:rsidR="002F277F" w:rsidRPr="00C659D0" w:rsidRDefault="002F277F">
      <w:pPr>
        <w:rPr>
          <w:rFonts w:asciiTheme="majorHAnsi" w:hAnsiTheme="majorHAnsi" w:cstheme="majorHAnsi"/>
          <w:sz w:val="28"/>
          <w:szCs w:val="28"/>
        </w:rPr>
      </w:pPr>
      <w:r w:rsidRPr="00C659D0">
        <w:rPr>
          <w:rFonts w:asciiTheme="majorHAnsi" w:hAnsiTheme="majorHAnsi" w:cstheme="majorHAnsi"/>
          <w:sz w:val="28"/>
          <w:szCs w:val="28"/>
        </w:rPr>
        <w:t>L’armoire électrique du TGBT est consignée et raccordée au lampadaire. La mise en service de l’installation vise à mettre le TGBT en condition d’exploitation.</w:t>
      </w:r>
    </w:p>
    <w:p w14:paraId="3CB63E8D" w14:textId="368A8A94" w:rsidR="002F277F" w:rsidRPr="00C659D0" w:rsidRDefault="002F277F">
      <w:pPr>
        <w:rPr>
          <w:rFonts w:asciiTheme="majorHAnsi" w:hAnsiTheme="majorHAnsi" w:cstheme="majorHAnsi"/>
          <w:sz w:val="28"/>
          <w:szCs w:val="28"/>
        </w:rPr>
      </w:pPr>
    </w:p>
    <w:p w14:paraId="7BF3240E" w14:textId="58AB79E8" w:rsidR="002F277F" w:rsidRPr="00C659D0" w:rsidRDefault="002F277F">
      <w:pPr>
        <w:rPr>
          <w:rFonts w:asciiTheme="majorHAnsi" w:hAnsiTheme="majorHAnsi" w:cstheme="majorHAnsi"/>
          <w:sz w:val="28"/>
          <w:szCs w:val="28"/>
        </w:rPr>
      </w:pPr>
      <w:r w:rsidRPr="00C659D0">
        <w:rPr>
          <w:rFonts w:asciiTheme="majorHAnsi" w:hAnsiTheme="majorHAnsi" w:cstheme="majorHAnsi"/>
          <w:sz w:val="28"/>
          <w:szCs w:val="28"/>
        </w:rPr>
        <w:t>Réaliser l’inspection visuelle et valider chacun des tests du tableau.</w:t>
      </w:r>
    </w:p>
    <w:tbl>
      <w:tblPr>
        <w:tblStyle w:val="Grilledutableau"/>
        <w:tblW w:w="0" w:type="auto"/>
        <w:tblLook w:val="04A0" w:firstRow="1" w:lastRow="0" w:firstColumn="1" w:lastColumn="0" w:noHBand="0" w:noVBand="1"/>
      </w:tblPr>
      <w:tblGrid>
        <w:gridCol w:w="8784"/>
        <w:gridCol w:w="992"/>
        <w:gridCol w:w="986"/>
      </w:tblGrid>
      <w:tr w:rsidR="002F277F" w:rsidRPr="00C659D0" w14:paraId="02240B0B" w14:textId="77777777" w:rsidTr="0064799C">
        <w:tc>
          <w:tcPr>
            <w:tcW w:w="10762" w:type="dxa"/>
            <w:gridSpan w:val="3"/>
          </w:tcPr>
          <w:p w14:paraId="2D71CF22" w14:textId="56692994" w:rsidR="002F277F" w:rsidRPr="00C659D0" w:rsidRDefault="00B33C73" w:rsidP="00C659D0">
            <w:pPr>
              <w:jc w:val="center"/>
              <w:rPr>
                <w:rFonts w:asciiTheme="majorHAnsi" w:hAnsiTheme="majorHAnsi" w:cstheme="majorHAnsi"/>
                <w:b/>
                <w:bCs/>
                <w:sz w:val="28"/>
                <w:szCs w:val="28"/>
              </w:rPr>
            </w:pPr>
            <w:r w:rsidRPr="00C659D0">
              <w:rPr>
                <w:rFonts w:asciiTheme="majorHAnsi" w:hAnsiTheme="majorHAnsi" w:cstheme="majorHAnsi"/>
                <w:b/>
                <w:bCs/>
                <w:sz w:val="28"/>
                <w:szCs w:val="28"/>
              </w:rPr>
              <w:t>Fiche des taches à effectuer hors tension</w:t>
            </w:r>
          </w:p>
        </w:tc>
      </w:tr>
      <w:tr w:rsidR="00B33C73" w:rsidRPr="00C659D0" w14:paraId="3B9A3F38" w14:textId="77777777" w:rsidTr="00C659D0">
        <w:tc>
          <w:tcPr>
            <w:tcW w:w="8784" w:type="dxa"/>
            <w:vMerge w:val="restart"/>
            <w:vAlign w:val="center"/>
          </w:tcPr>
          <w:p w14:paraId="3BC8679C" w14:textId="2FFE04AE" w:rsidR="00B33C73" w:rsidRPr="00C659D0" w:rsidRDefault="00B33C73" w:rsidP="00C659D0">
            <w:pPr>
              <w:jc w:val="center"/>
              <w:rPr>
                <w:rFonts w:asciiTheme="majorHAnsi" w:hAnsiTheme="majorHAnsi" w:cstheme="majorHAnsi"/>
                <w:sz w:val="28"/>
                <w:szCs w:val="28"/>
              </w:rPr>
            </w:pPr>
          </w:p>
        </w:tc>
        <w:tc>
          <w:tcPr>
            <w:tcW w:w="1978" w:type="dxa"/>
            <w:gridSpan w:val="2"/>
          </w:tcPr>
          <w:p w14:paraId="1249FDCC" w14:textId="3FA26024" w:rsidR="00B33C73" w:rsidRPr="00C659D0" w:rsidRDefault="00B33C73" w:rsidP="00C659D0">
            <w:pPr>
              <w:jc w:val="center"/>
              <w:rPr>
                <w:rFonts w:asciiTheme="majorHAnsi" w:hAnsiTheme="majorHAnsi" w:cstheme="majorHAnsi"/>
                <w:b/>
                <w:bCs/>
                <w:sz w:val="28"/>
                <w:szCs w:val="28"/>
              </w:rPr>
            </w:pPr>
            <w:r w:rsidRPr="00C659D0">
              <w:rPr>
                <w:rFonts w:asciiTheme="majorHAnsi" w:hAnsiTheme="majorHAnsi" w:cstheme="majorHAnsi"/>
                <w:b/>
                <w:bCs/>
                <w:sz w:val="28"/>
                <w:szCs w:val="28"/>
              </w:rPr>
              <w:t>Validation</w:t>
            </w:r>
          </w:p>
        </w:tc>
      </w:tr>
      <w:tr w:rsidR="00B33C73" w:rsidRPr="00C659D0" w14:paraId="3F2D7513" w14:textId="77777777" w:rsidTr="002F277F">
        <w:tc>
          <w:tcPr>
            <w:tcW w:w="8784" w:type="dxa"/>
            <w:vMerge/>
          </w:tcPr>
          <w:p w14:paraId="27782575" w14:textId="3BD852CB" w:rsidR="00B33C73" w:rsidRPr="00C659D0" w:rsidRDefault="00B33C73">
            <w:pPr>
              <w:rPr>
                <w:rFonts w:asciiTheme="majorHAnsi" w:hAnsiTheme="majorHAnsi" w:cstheme="majorHAnsi"/>
                <w:sz w:val="28"/>
                <w:szCs w:val="28"/>
              </w:rPr>
            </w:pPr>
          </w:p>
        </w:tc>
        <w:tc>
          <w:tcPr>
            <w:tcW w:w="992" w:type="dxa"/>
          </w:tcPr>
          <w:p w14:paraId="4741B260" w14:textId="39B7F6A2" w:rsidR="00B33C73" w:rsidRPr="00C659D0" w:rsidRDefault="00B33C73" w:rsidP="00C659D0">
            <w:pPr>
              <w:jc w:val="center"/>
              <w:rPr>
                <w:rFonts w:asciiTheme="majorHAnsi" w:hAnsiTheme="majorHAnsi" w:cstheme="majorHAnsi"/>
                <w:b/>
                <w:bCs/>
                <w:sz w:val="28"/>
                <w:szCs w:val="28"/>
              </w:rPr>
            </w:pPr>
            <w:r w:rsidRPr="00C659D0">
              <w:rPr>
                <w:rFonts w:asciiTheme="majorHAnsi" w:hAnsiTheme="majorHAnsi" w:cstheme="majorHAnsi"/>
                <w:b/>
                <w:bCs/>
                <w:sz w:val="28"/>
                <w:szCs w:val="28"/>
              </w:rPr>
              <w:t>Oui</w:t>
            </w:r>
          </w:p>
        </w:tc>
        <w:tc>
          <w:tcPr>
            <w:tcW w:w="986" w:type="dxa"/>
          </w:tcPr>
          <w:p w14:paraId="3E64E18B" w14:textId="72AA130D" w:rsidR="00B33C73" w:rsidRPr="00C659D0" w:rsidRDefault="00B33C73" w:rsidP="00C659D0">
            <w:pPr>
              <w:jc w:val="center"/>
              <w:rPr>
                <w:rFonts w:asciiTheme="majorHAnsi" w:hAnsiTheme="majorHAnsi" w:cstheme="majorHAnsi"/>
                <w:b/>
                <w:bCs/>
                <w:sz w:val="28"/>
                <w:szCs w:val="28"/>
              </w:rPr>
            </w:pPr>
            <w:r w:rsidRPr="00C659D0">
              <w:rPr>
                <w:rFonts w:asciiTheme="majorHAnsi" w:hAnsiTheme="majorHAnsi" w:cstheme="majorHAnsi"/>
                <w:b/>
                <w:bCs/>
                <w:sz w:val="28"/>
                <w:szCs w:val="28"/>
              </w:rPr>
              <w:t>Non</w:t>
            </w:r>
          </w:p>
        </w:tc>
      </w:tr>
      <w:tr w:rsidR="00B33C73" w:rsidRPr="00C659D0" w14:paraId="7E05E7E0" w14:textId="77777777" w:rsidTr="002F277F">
        <w:tc>
          <w:tcPr>
            <w:tcW w:w="8784" w:type="dxa"/>
          </w:tcPr>
          <w:p w14:paraId="4DF1431A" w14:textId="5C284E75" w:rsidR="00B33C73" w:rsidRPr="00C659D0" w:rsidRDefault="00B33C73" w:rsidP="00B33C73">
            <w:pPr>
              <w:rPr>
                <w:rFonts w:asciiTheme="majorHAnsi" w:hAnsiTheme="majorHAnsi" w:cstheme="majorHAnsi"/>
                <w:sz w:val="28"/>
                <w:szCs w:val="28"/>
              </w:rPr>
            </w:pPr>
            <w:r w:rsidRPr="00C659D0">
              <w:rPr>
                <w:rFonts w:asciiTheme="majorHAnsi" w:hAnsiTheme="majorHAnsi" w:cstheme="majorHAnsi"/>
                <w:sz w:val="28"/>
                <w:szCs w:val="28"/>
              </w:rPr>
              <w:t>Les serrages des conducteurs sont-ils corrects ?</w:t>
            </w:r>
          </w:p>
        </w:tc>
        <w:tc>
          <w:tcPr>
            <w:tcW w:w="992" w:type="dxa"/>
          </w:tcPr>
          <w:p w14:paraId="3BA8172F" w14:textId="77777777" w:rsidR="00B33C73" w:rsidRPr="00C659D0" w:rsidRDefault="00B33C73" w:rsidP="00C659D0">
            <w:pPr>
              <w:jc w:val="center"/>
              <w:rPr>
                <w:rFonts w:asciiTheme="majorHAnsi" w:hAnsiTheme="majorHAnsi" w:cstheme="majorHAnsi"/>
                <w:sz w:val="28"/>
                <w:szCs w:val="28"/>
              </w:rPr>
            </w:pPr>
          </w:p>
        </w:tc>
        <w:tc>
          <w:tcPr>
            <w:tcW w:w="986" w:type="dxa"/>
          </w:tcPr>
          <w:p w14:paraId="3A8E3EA4" w14:textId="77777777" w:rsidR="00B33C73" w:rsidRPr="00C659D0" w:rsidRDefault="00B33C73" w:rsidP="00C659D0">
            <w:pPr>
              <w:jc w:val="center"/>
              <w:rPr>
                <w:rFonts w:asciiTheme="majorHAnsi" w:hAnsiTheme="majorHAnsi" w:cstheme="majorHAnsi"/>
                <w:sz w:val="28"/>
                <w:szCs w:val="28"/>
              </w:rPr>
            </w:pPr>
          </w:p>
        </w:tc>
      </w:tr>
      <w:tr w:rsidR="00B33C73" w:rsidRPr="00C659D0" w14:paraId="163E873B" w14:textId="77777777" w:rsidTr="002F277F">
        <w:tc>
          <w:tcPr>
            <w:tcW w:w="8784" w:type="dxa"/>
          </w:tcPr>
          <w:p w14:paraId="439D7576" w14:textId="46DC9594" w:rsidR="00B33C73" w:rsidRPr="00C659D0" w:rsidRDefault="00B33C73" w:rsidP="00B33C73">
            <w:pPr>
              <w:rPr>
                <w:rFonts w:asciiTheme="majorHAnsi" w:hAnsiTheme="majorHAnsi" w:cstheme="majorHAnsi"/>
                <w:sz w:val="28"/>
                <w:szCs w:val="28"/>
              </w:rPr>
            </w:pPr>
            <w:r w:rsidRPr="00C659D0">
              <w:rPr>
                <w:rFonts w:asciiTheme="majorHAnsi" w:hAnsiTheme="majorHAnsi" w:cstheme="majorHAnsi"/>
                <w:sz w:val="28"/>
                <w:szCs w:val="28"/>
              </w:rPr>
              <w:t>Les conducteurs de protection électrique (PE) sont-ils présents ?</w:t>
            </w:r>
          </w:p>
        </w:tc>
        <w:tc>
          <w:tcPr>
            <w:tcW w:w="992" w:type="dxa"/>
          </w:tcPr>
          <w:p w14:paraId="0AAFF7BA" w14:textId="77777777" w:rsidR="00B33C73" w:rsidRPr="00C659D0" w:rsidRDefault="00B33C73" w:rsidP="00C659D0">
            <w:pPr>
              <w:jc w:val="center"/>
              <w:rPr>
                <w:rFonts w:asciiTheme="majorHAnsi" w:hAnsiTheme="majorHAnsi" w:cstheme="majorHAnsi"/>
                <w:sz w:val="28"/>
                <w:szCs w:val="28"/>
              </w:rPr>
            </w:pPr>
          </w:p>
        </w:tc>
        <w:tc>
          <w:tcPr>
            <w:tcW w:w="986" w:type="dxa"/>
          </w:tcPr>
          <w:p w14:paraId="1BBF5577" w14:textId="77777777" w:rsidR="00B33C73" w:rsidRPr="00C659D0" w:rsidRDefault="00B33C73" w:rsidP="00C659D0">
            <w:pPr>
              <w:jc w:val="center"/>
              <w:rPr>
                <w:rFonts w:asciiTheme="majorHAnsi" w:hAnsiTheme="majorHAnsi" w:cstheme="majorHAnsi"/>
                <w:sz w:val="28"/>
                <w:szCs w:val="28"/>
              </w:rPr>
            </w:pPr>
          </w:p>
        </w:tc>
      </w:tr>
      <w:tr w:rsidR="00B33C73" w:rsidRPr="00C659D0" w14:paraId="09971CAB" w14:textId="77777777" w:rsidTr="002F277F">
        <w:tc>
          <w:tcPr>
            <w:tcW w:w="8784" w:type="dxa"/>
          </w:tcPr>
          <w:p w14:paraId="4842A7F2" w14:textId="24C9AA56" w:rsidR="00B33C73" w:rsidRPr="00C659D0" w:rsidRDefault="00B33C73" w:rsidP="00B33C73">
            <w:pPr>
              <w:rPr>
                <w:rFonts w:asciiTheme="majorHAnsi" w:hAnsiTheme="majorHAnsi" w:cstheme="majorHAnsi"/>
                <w:sz w:val="28"/>
                <w:szCs w:val="28"/>
              </w:rPr>
            </w:pPr>
            <w:r w:rsidRPr="00C659D0">
              <w:rPr>
                <w:rFonts w:asciiTheme="majorHAnsi" w:hAnsiTheme="majorHAnsi" w:cstheme="majorHAnsi"/>
                <w:sz w:val="28"/>
                <w:szCs w:val="28"/>
              </w:rPr>
              <w:t>Les contrôles des liaisons équipotentielles donne-t-il des résultats corrects ?</w:t>
            </w:r>
          </w:p>
        </w:tc>
        <w:tc>
          <w:tcPr>
            <w:tcW w:w="992" w:type="dxa"/>
          </w:tcPr>
          <w:p w14:paraId="4031B772" w14:textId="77777777" w:rsidR="00B33C73" w:rsidRPr="00C659D0" w:rsidRDefault="00B33C73" w:rsidP="00C659D0">
            <w:pPr>
              <w:jc w:val="center"/>
              <w:rPr>
                <w:rFonts w:asciiTheme="majorHAnsi" w:hAnsiTheme="majorHAnsi" w:cstheme="majorHAnsi"/>
                <w:sz w:val="28"/>
                <w:szCs w:val="28"/>
              </w:rPr>
            </w:pPr>
          </w:p>
        </w:tc>
        <w:tc>
          <w:tcPr>
            <w:tcW w:w="986" w:type="dxa"/>
          </w:tcPr>
          <w:p w14:paraId="4E5763A9" w14:textId="77777777" w:rsidR="00B33C73" w:rsidRPr="00C659D0" w:rsidRDefault="00B33C73" w:rsidP="00C659D0">
            <w:pPr>
              <w:jc w:val="center"/>
              <w:rPr>
                <w:rFonts w:asciiTheme="majorHAnsi" w:hAnsiTheme="majorHAnsi" w:cstheme="majorHAnsi"/>
                <w:sz w:val="28"/>
                <w:szCs w:val="28"/>
              </w:rPr>
            </w:pPr>
          </w:p>
        </w:tc>
      </w:tr>
      <w:tr w:rsidR="00B33C73" w:rsidRPr="00C659D0" w14:paraId="5C9396E1" w14:textId="77777777" w:rsidTr="002F277F">
        <w:tc>
          <w:tcPr>
            <w:tcW w:w="8784" w:type="dxa"/>
          </w:tcPr>
          <w:p w14:paraId="3A4F930B" w14:textId="17C9D9DF" w:rsidR="00B33C73" w:rsidRPr="00C659D0" w:rsidRDefault="00B33C73" w:rsidP="00B33C73">
            <w:pPr>
              <w:rPr>
                <w:rFonts w:asciiTheme="majorHAnsi" w:hAnsiTheme="majorHAnsi" w:cstheme="majorHAnsi"/>
                <w:sz w:val="28"/>
                <w:szCs w:val="28"/>
              </w:rPr>
            </w:pPr>
            <w:r w:rsidRPr="00C659D0">
              <w:rPr>
                <w:rFonts w:asciiTheme="majorHAnsi" w:hAnsiTheme="majorHAnsi" w:cstheme="majorHAnsi"/>
                <w:sz w:val="28"/>
                <w:szCs w:val="28"/>
              </w:rPr>
              <w:t>Le parafoudre de l’armoire TGBT est-il raccordé à la terre ?</w:t>
            </w:r>
          </w:p>
        </w:tc>
        <w:tc>
          <w:tcPr>
            <w:tcW w:w="992" w:type="dxa"/>
          </w:tcPr>
          <w:p w14:paraId="19C8E15E" w14:textId="77777777" w:rsidR="00B33C73" w:rsidRPr="00C659D0" w:rsidRDefault="00B33C73" w:rsidP="00C659D0">
            <w:pPr>
              <w:jc w:val="center"/>
              <w:rPr>
                <w:rFonts w:asciiTheme="majorHAnsi" w:hAnsiTheme="majorHAnsi" w:cstheme="majorHAnsi"/>
                <w:sz w:val="28"/>
                <w:szCs w:val="28"/>
              </w:rPr>
            </w:pPr>
          </w:p>
        </w:tc>
        <w:tc>
          <w:tcPr>
            <w:tcW w:w="986" w:type="dxa"/>
          </w:tcPr>
          <w:p w14:paraId="4A7A9ADB" w14:textId="77777777" w:rsidR="00B33C73" w:rsidRPr="00C659D0" w:rsidRDefault="00B33C73" w:rsidP="00C659D0">
            <w:pPr>
              <w:jc w:val="center"/>
              <w:rPr>
                <w:rFonts w:asciiTheme="majorHAnsi" w:hAnsiTheme="majorHAnsi" w:cstheme="majorHAnsi"/>
                <w:sz w:val="28"/>
                <w:szCs w:val="28"/>
              </w:rPr>
            </w:pPr>
          </w:p>
        </w:tc>
      </w:tr>
      <w:tr w:rsidR="00B33C73" w:rsidRPr="00C659D0" w14:paraId="1B1C64D6" w14:textId="77777777" w:rsidTr="00C659D0">
        <w:tc>
          <w:tcPr>
            <w:tcW w:w="8784" w:type="dxa"/>
            <w:vMerge w:val="restart"/>
            <w:vAlign w:val="center"/>
          </w:tcPr>
          <w:p w14:paraId="0ABCB5C6" w14:textId="2B5086F1" w:rsidR="00B33C73" w:rsidRPr="00C659D0" w:rsidRDefault="00B33C73" w:rsidP="00C659D0">
            <w:pPr>
              <w:jc w:val="center"/>
              <w:rPr>
                <w:rFonts w:asciiTheme="majorHAnsi" w:hAnsiTheme="majorHAnsi" w:cstheme="majorHAnsi"/>
                <w:b/>
                <w:bCs/>
                <w:sz w:val="28"/>
                <w:szCs w:val="28"/>
              </w:rPr>
            </w:pPr>
            <w:r w:rsidRPr="00C659D0">
              <w:rPr>
                <w:rFonts w:asciiTheme="majorHAnsi" w:hAnsiTheme="majorHAnsi" w:cstheme="majorHAnsi"/>
                <w:b/>
                <w:bCs/>
                <w:sz w:val="28"/>
                <w:szCs w:val="28"/>
              </w:rPr>
              <w:t>Taches coté lampadaire</w:t>
            </w:r>
          </w:p>
        </w:tc>
        <w:tc>
          <w:tcPr>
            <w:tcW w:w="1978" w:type="dxa"/>
            <w:gridSpan w:val="2"/>
          </w:tcPr>
          <w:p w14:paraId="0C1BA1D7" w14:textId="6680D7C1" w:rsidR="00B33C73" w:rsidRPr="00C659D0" w:rsidRDefault="00B33C73" w:rsidP="00C659D0">
            <w:pPr>
              <w:jc w:val="center"/>
              <w:rPr>
                <w:rFonts w:asciiTheme="majorHAnsi" w:hAnsiTheme="majorHAnsi" w:cstheme="majorHAnsi"/>
                <w:b/>
                <w:bCs/>
                <w:sz w:val="28"/>
                <w:szCs w:val="28"/>
              </w:rPr>
            </w:pPr>
            <w:r w:rsidRPr="00C659D0">
              <w:rPr>
                <w:rFonts w:asciiTheme="majorHAnsi" w:hAnsiTheme="majorHAnsi" w:cstheme="majorHAnsi"/>
                <w:b/>
                <w:bCs/>
                <w:sz w:val="28"/>
                <w:szCs w:val="28"/>
              </w:rPr>
              <w:t>Validation</w:t>
            </w:r>
          </w:p>
        </w:tc>
      </w:tr>
      <w:tr w:rsidR="00B33C73" w:rsidRPr="00C659D0" w14:paraId="33C44B46" w14:textId="77777777" w:rsidTr="002F277F">
        <w:tc>
          <w:tcPr>
            <w:tcW w:w="8784" w:type="dxa"/>
            <w:vMerge/>
          </w:tcPr>
          <w:p w14:paraId="4DA97C0D" w14:textId="77777777" w:rsidR="00B33C73" w:rsidRPr="00C659D0" w:rsidRDefault="00B33C73" w:rsidP="00B33C73">
            <w:pPr>
              <w:rPr>
                <w:rFonts w:asciiTheme="majorHAnsi" w:hAnsiTheme="majorHAnsi" w:cstheme="majorHAnsi"/>
                <w:sz w:val="28"/>
                <w:szCs w:val="28"/>
              </w:rPr>
            </w:pPr>
          </w:p>
        </w:tc>
        <w:tc>
          <w:tcPr>
            <w:tcW w:w="992" w:type="dxa"/>
          </w:tcPr>
          <w:p w14:paraId="7A08D0D7" w14:textId="7E829DF7" w:rsidR="00B33C73" w:rsidRPr="00C659D0" w:rsidRDefault="00B33C73" w:rsidP="00C659D0">
            <w:pPr>
              <w:jc w:val="center"/>
              <w:rPr>
                <w:rFonts w:asciiTheme="majorHAnsi" w:hAnsiTheme="majorHAnsi" w:cstheme="majorHAnsi"/>
                <w:b/>
                <w:bCs/>
                <w:sz w:val="28"/>
                <w:szCs w:val="28"/>
              </w:rPr>
            </w:pPr>
            <w:r w:rsidRPr="00C659D0">
              <w:rPr>
                <w:rFonts w:asciiTheme="majorHAnsi" w:hAnsiTheme="majorHAnsi" w:cstheme="majorHAnsi"/>
                <w:b/>
                <w:bCs/>
                <w:sz w:val="28"/>
                <w:szCs w:val="28"/>
              </w:rPr>
              <w:t>Oui</w:t>
            </w:r>
          </w:p>
        </w:tc>
        <w:tc>
          <w:tcPr>
            <w:tcW w:w="986" w:type="dxa"/>
          </w:tcPr>
          <w:p w14:paraId="3F40CB4E" w14:textId="315F9964" w:rsidR="00B33C73" w:rsidRPr="00C659D0" w:rsidRDefault="00B33C73" w:rsidP="00C659D0">
            <w:pPr>
              <w:jc w:val="center"/>
              <w:rPr>
                <w:rFonts w:asciiTheme="majorHAnsi" w:hAnsiTheme="majorHAnsi" w:cstheme="majorHAnsi"/>
                <w:b/>
                <w:bCs/>
                <w:sz w:val="28"/>
                <w:szCs w:val="28"/>
              </w:rPr>
            </w:pPr>
            <w:r w:rsidRPr="00C659D0">
              <w:rPr>
                <w:rFonts w:asciiTheme="majorHAnsi" w:hAnsiTheme="majorHAnsi" w:cstheme="majorHAnsi"/>
                <w:b/>
                <w:bCs/>
                <w:sz w:val="28"/>
                <w:szCs w:val="28"/>
              </w:rPr>
              <w:t>Non</w:t>
            </w:r>
          </w:p>
        </w:tc>
      </w:tr>
      <w:tr w:rsidR="00B33C73" w:rsidRPr="00C659D0" w14:paraId="7568D0B5" w14:textId="77777777" w:rsidTr="002F277F">
        <w:tc>
          <w:tcPr>
            <w:tcW w:w="8784" w:type="dxa"/>
          </w:tcPr>
          <w:p w14:paraId="08353D82" w14:textId="5BD3B4C9" w:rsidR="00B33C73" w:rsidRPr="00C659D0" w:rsidRDefault="00B33C73" w:rsidP="00B33C73">
            <w:pPr>
              <w:rPr>
                <w:rFonts w:asciiTheme="majorHAnsi" w:hAnsiTheme="majorHAnsi" w:cstheme="majorHAnsi"/>
                <w:sz w:val="28"/>
                <w:szCs w:val="28"/>
              </w:rPr>
            </w:pPr>
            <w:r w:rsidRPr="00C659D0">
              <w:rPr>
                <w:rFonts w:asciiTheme="majorHAnsi" w:hAnsiTheme="majorHAnsi" w:cstheme="majorHAnsi"/>
                <w:sz w:val="28"/>
                <w:szCs w:val="28"/>
              </w:rPr>
              <w:t>Les serrages des conducteurs sont-ils corrects ?</w:t>
            </w:r>
          </w:p>
        </w:tc>
        <w:tc>
          <w:tcPr>
            <w:tcW w:w="992" w:type="dxa"/>
          </w:tcPr>
          <w:p w14:paraId="7D8569E8" w14:textId="77777777" w:rsidR="00B33C73" w:rsidRPr="00C659D0" w:rsidRDefault="00B33C73" w:rsidP="00C659D0">
            <w:pPr>
              <w:jc w:val="center"/>
              <w:rPr>
                <w:rFonts w:asciiTheme="majorHAnsi" w:hAnsiTheme="majorHAnsi" w:cstheme="majorHAnsi"/>
                <w:sz w:val="28"/>
                <w:szCs w:val="28"/>
              </w:rPr>
            </w:pPr>
          </w:p>
        </w:tc>
        <w:tc>
          <w:tcPr>
            <w:tcW w:w="986" w:type="dxa"/>
          </w:tcPr>
          <w:p w14:paraId="023CE6A4" w14:textId="77777777" w:rsidR="00B33C73" w:rsidRPr="00C659D0" w:rsidRDefault="00B33C73" w:rsidP="00C659D0">
            <w:pPr>
              <w:jc w:val="center"/>
              <w:rPr>
                <w:rFonts w:asciiTheme="majorHAnsi" w:hAnsiTheme="majorHAnsi" w:cstheme="majorHAnsi"/>
                <w:sz w:val="28"/>
                <w:szCs w:val="28"/>
              </w:rPr>
            </w:pPr>
          </w:p>
        </w:tc>
      </w:tr>
      <w:tr w:rsidR="00B33C73" w:rsidRPr="00C659D0" w14:paraId="6BB5B85D" w14:textId="77777777" w:rsidTr="002F277F">
        <w:tc>
          <w:tcPr>
            <w:tcW w:w="8784" w:type="dxa"/>
          </w:tcPr>
          <w:p w14:paraId="4AB2F6DC" w14:textId="27700AEE" w:rsidR="00B33C73" w:rsidRPr="00C659D0" w:rsidRDefault="00B33C73" w:rsidP="00B33C73">
            <w:pPr>
              <w:rPr>
                <w:rFonts w:asciiTheme="majorHAnsi" w:hAnsiTheme="majorHAnsi" w:cstheme="majorHAnsi"/>
                <w:sz w:val="28"/>
                <w:szCs w:val="28"/>
              </w:rPr>
            </w:pPr>
            <w:r w:rsidRPr="00C659D0">
              <w:rPr>
                <w:rFonts w:asciiTheme="majorHAnsi" w:hAnsiTheme="majorHAnsi" w:cstheme="majorHAnsi"/>
                <w:sz w:val="28"/>
                <w:szCs w:val="28"/>
              </w:rPr>
              <w:t>Les conducteurs de protection électrique (PE) sont-ils présents ?</w:t>
            </w:r>
          </w:p>
        </w:tc>
        <w:tc>
          <w:tcPr>
            <w:tcW w:w="992" w:type="dxa"/>
          </w:tcPr>
          <w:p w14:paraId="4EB528A4" w14:textId="77777777" w:rsidR="00B33C73" w:rsidRPr="00C659D0" w:rsidRDefault="00B33C73" w:rsidP="00C659D0">
            <w:pPr>
              <w:jc w:val="center"/>
              <w:rPr>
                <w:rFonts w:asciiTheme="majorHAnsi" w:hAnsiTheme="majorHAnsi" w:cstheme="majorHAnsi"/>
                <w:sz w:val="28"/>
                <w:szCs w:val="28"/>
              </w:rPr>
            </w:pPr>
          </w:p>
        </w:tc>
        <w:tc>
          <w:tcPr>
            <w:tcW w:w="986" w:type="dxa"/>
          </w:tcPr>
          <w:p w14:paraId="16E509CD" w14:textId="77777777" w:rsidR="00B33C73" w:rsidRPr="00C659D0" w:rsidRDefault="00B33C73" w:rsidP="00C659D0">
            <w:pPr>
              <w:jc w:val="center"/>
              <w:rPr>
                <w:rFonts w:asciiTheme="majorHAnsi" w:hAnsiTheme="majorHAnsi" w:cstheme="majorHAnsi"/>
                <w:sz w:val="28"/>
                <w:szCs w:val="28"/>
              </w:rPr>
            </w:pPr>
          </w:p>
        </w:tc>
      </w:tr>
      <w:tr w:rsidR="00B33C73" w:rsidRPr="00C659D0" w14:paraId="55FBBE1E" w14:textId="77777777" w:rsidTr="002F277F">
        <w:tc>
          <w:tcPr>
            <w:tcW w:w="8784" w:type="dxa"/>
          </w:tcPr>
          <w:p w14:paraId="5A600F43" w14:textId="2E94C3AA" w:rsidR="00B33C73" w:rsidRPr="00C659D0" w:rsidRDefault="00B33C73" w:rsidP="00B33C73">
            <w:pPr>
              <w:rPr>
                <w:rFonts w:asciiTheme="majorHAnsi" w:hAnsiTheme="majorHAnsi" w:cstheme="majorHAnsi"/>
                <w:sz w:val="28"/>
                <w:szCs w:val="28"/>
              </w:rPr>
            </w:pPr>
            <w:r w:rsidRPr="00C659D0">
              <w:rPr>
                <w:rFonts w:asciiTheme="majorHAnsi" w:hAnsiTheme="majorHAnsi" w:cstheme="majorHAnsi"/>
                <w:sz w:val="28"/>
                <w:szCs w:val="28"/>
              </w:rPr>
              <w:t>Le contrôle des liaisons équipotentielles donne-t-il des résultats corrects ?</w:t>
            </w:r>
          </w:p>
        </w:tc>
        <w:tc>
          <w:tcPr>
            <w:tcW w:w="992" w:type="dxa"/>
          </w:tcPr>
          <w:p w14:paraId="32365C93" w14:textId="77777777" w:rsidR="00B33C73" w:rsidRPr="00C659D0" w:rsidRDefault="00B33C73" w:rsidP="00C659D0">
            <w:pPr>
              <w:jc w:val="center"/>
              <w:rPr>
                <w:rFonts w:asciiTheme="majorHAnsi" w:hAnsiTheme="majorHAnsi" w:cstheme="majorHAnsi"/>
                <w:sz w:val="28"/>
                <w:szCs w:val="28"/>
              </w:rPr>
            </w:pPr>
          </w:p>
        </w:tc>
        <w:tc>
          <w:tcPr>
            <w:tcW w:w="986" w:type="dxa"/>
          </w:tcPr>
          <w:p w14:paraId="6A8A4812" w14:textId="77777777" w:rsidR="00B33C73" w:rsidRPr="00C659D0" w:rsidRDefault="00B33C73" w:rsidP="00C659D0">
            <w:pPr>
              <w:jc w:val="center"/>
              <w:rPr>
                <w:rFonts w:asciiTheme="majorHAnsi" w:hAnsiTheme="majorHAnsi" w:cstheme="majorHAnsi"/>
                <w:sz w:val="28"/>
                <w:szCs w:val="28"/>
              </w:rPr>
            </w:pPr>
          </w:p>
        </w:tc>
      </w:tr>
      <w:tr w:rsidR="00B33C73" w:rsidRPr="00C659D0" w14:paraId="39DE9280" w14:textId="77777777" w:rsidTr="002F277F">
        <w:tc>
          <w:tcPr>
            <w:tcW w:w="8784" w:type="dxa"/>
          </w:tcPr>
          <w:p w14:paraId="15D888B7" w14:textId="7D33DC1F" w:rsidR="00B33C73" w:rsidRPr="00C659D0" w:rsidRDefault="00630C89" w:rsidP="00B33C73">
            <w:pPr>
              <w:rPr>
                <w:rFonts w:asciiTheme="majorHAnsi" w:hAnsiTheme="majorHAnsi" w:cstheme="majorHAnsi"/>
                <w:sz w:val="28"/>
                <w:szCs w:val="28"/>
              </w:rPr>
            </w:pPr>
            <w:r w:rsidRPr="00C659D0">
              <w:rPr>
                <w:rFonts w:asciiTheme="majorHAnsi" w:hAnsiTheme="majorHAnsi" w:cstheme="majorHAnsi"/>
                <w:sz w:val="28"/>
                <w:szCs w:val="28"/>
              </w:rPr>
              <w:t>Le parafoudre de l’armoire TGBT est-il bien raccordé à la terre ?</w:t>
            </w:r>
          </w:p>
        </w:tc>
        <w:tc>
          <w:tcPr>
            <w:tcW w:w="992" w:type="dxa"/>
          </w:tcPr>
          <w:p w14:paraId="2F01803D" w14:textId="77777777" w:rsidR="00B33C73" w:rsidRPr="00C659D0" w:rsidRDefault="00B33C73" w:rsidP="00C659D0">
            <w:pPr>
              <w:jc w:val="center"/>
              <w:rPr>
                <w:rFonts w:asciiTheme="majorHAnsi" w:hAnsiTheme="majorHAnsi" w:cstheme="majorHAnsi"/>
                <w:sz w:val="28"/>
                <w:szCs w:val="28"/>
              </w:rPr>
            </w:pPr>
          </w:p>
        </w:tc>
        <w:tc>
          <w:tcPr>
            <w:tcW w:w="986" w:type="dxa"/>
          </w:tcPr>
          <w:p w14:paraId="67A180FF" w14:textId="77777777" w:rsidR="00B33C73" w:rsidRPr="00C659D0" w:rsidRDefault="00B33C73" w:rsidP="00C659D0">
            <w:pPr>
              <w:jc w:val="center"/>
              <w:rPr>
                <w:rFonts w:asciiTheme="majorHAnsi" w:hAnsiTheme="majorHAnsi" w:cstheme="majorHAnsi"/>
                <w:sz w:val="28"/>
                <w:szCs w:val="28"/>
              </w:rPr>
            </w:pPr>
          </w:p>
        </w:tc>
      </w:tr>
    </w:tbl>
    <w:p w14:paraId="4570AD1F" w14:textId="4990876C" w:rsidR="002F277F" w:rsidRPr="00C659D0" w:rsidRDefault="002F277F">
      <w:pPr>
        <w:rPr>
          <w:rFonts w:asciiTheme="majorHAnsi" w:hAnsiTheme="majorHAnsi" w:cstheme="majorHAnsi"/>
          <w:sz w:val="28"/>
          <w:szCs w:val="28"/>
        </w:rPr>
      </w:pPr>
    </w:p>
    <w:p w14:paraId="48A8254F" w14:textId="3D72420B" w:rsidR="00630C89" w:rsidRPr="00C659D0" w:rsidRDefault="00630C89">
      <w:pPr>
        <w:rPr>
          <w:rFonts w:asciiTheme="majorHAnsi" w:hAnsiTheme="majorHAnsi" w:cstheme="majorHAnsi"/>
          <w:sz w:val="28"/>
          <w:szCs w:val="28"/>
        </w:rPr>
      </w:pPr>
      <w:r w:rsidRPr="00C659D0">
        <w:rPr>
          <w:rFonts w:asciiTheme="majorHAnsi" w:hAnsiTheme="majorHAnsi" w:cstheme="majorHAnsi"/>
          <w:sz w:val="28"/>
          <w:szCs w:val="28"/>
        </w:rPr>
        <w:t xml:space="preserve">Configuration du </w:t>
      </w:r>
      <w:r w:rsidR="00F823F1" w:rsidRPr="00C659D0">
        <w:rPr>
          <w:rFonts w:asciiTheme="majorHAnsi" w:hAnsiTheme="majorHAnsi" w:cstheme="majorHAnsi"/>
          <w:sz w:val="28"/>
          <w:szCs w:val="28"/>
        </w:rPr>
        <w:t>contrôleur</w:t>
      </w:r>
      <w:r w:rsidRPr="00C659D0">
        <w:rPr>
          <w:rFonts w:asciiTheme="majorHAnsi" w:hAnsiTheme="majorHAnsi" w:cstheme="majorHAnsi"/>
          <w:sz w:val="28"/>
          <w:szCs w:val="28"/>
        </w:rPr>
        <w:t xml:space="preserve"> de charge : armoire hors tension et consignée</w:t>
      </w:r>
    </w:p>
    <w:p w14:paraId="3EC1591D" w14:textId="49AB15F2" w:rsidR="00630C89" w:rsidRPr="00C659D0" w:rsidRDefault="00630C89">
      <w:pPr>
        <w:rPr>
          <w:rFonts w:asciiTheme="majorHAnsi" w:hAnsiTheme="majorHAnsi" w:cstheme="majorHAnsi"/>
          <w:sz w:val="28"/>
          <w:szCs w:val="28"/>
        </w:rPr>
      </w:pPr>
      <w:r w:rsidRPr="00C659D0">
        <w:rPr>
          <w:rFonts w:asciiTheme="majorHAnsi" w:hAnsiTheme="majorHAnsi" w:cstheme="majorHAnsi"/>
          <w:sz w:val="28"/>
          <w:szCs w:val="28"/>
        </w:rPr>
        <w:t xml:space="preserve">Le </w:t>
      </w:r>
      <w:r w:rsidR="00F823F1" w:rsidRPr="00C659D0">
        <w:rPr>
          <w:rFonts w:asciiTheme="majorHAnsi" w:hAnsiTheme="majorHAnsi" w:cstheme="majorHAnsi"/>
          <w:sz w:val="28"/>
          <w:szCs w:val="28"/>
        </w:rPr>
        <w:t>contrôleur</w:t>
      </w:r>
      <w:r w:rsidRPr="00C659D0">
        <w:rPr>
          <w:rFonts w:asciiTheme="majorHAnsi" w:hAnsiTheme="majorHAnsi" w:cstheme="majorHAnsi"/>
          <w:sz w:val="28"/>
          <w:szCs w:val="28"/>
        </w:rPr>
        <w:t xml:space="preserve"> de charge est capable de </w:t>
      </w:r>
      <w:r w:rsidR="00F823F1" w:rsidRPr="00C659D0">
        <w:rPr>
          <w:rFonts w:asciiTheme="majorHAnsi" w:hAnsiTheme="majorHAnsi" w:cstheme="majorHAnsi"/>
          <w:sz w:val="28"/>
          <w:szCs w:val="28"/>
        </w:rPr>
        <w:t>gérer</w:t>
      </w:r>
      <w:r w:rsidRPr="00C659D0">
        <w:rPr>
          <w:rFonts w:asciiTheme="majorHAnsi" w:hAnsiTheme="majorHAnsi" w:cstheme="majorHAnsi"/>
          <w:sz w:val="28"/>
          <w:szCs w:val="28"/>
        </w:rPr>
        <w:t xml:space="preserve"> </w:t>
      </w:r>
      <w:r w:rsidR="00F823F1" w:rsidRPr="00C659D0">
        <w:rPr>
          <w:rFonts w:asciiTheme="majorHAnsi" w:hAnsiTheme="majorHAnsi" w:cstheme="majorHAnsi"/>
          <w:sz w:val="28"/>
          <w:szCs w:val="28"/>
        </w:rPr>
        <w:t>certains types</w:t>
      </w:r>
      <w:r w:rsidRPr="00C659D0">
        <w:rPr>
          <w:rFonts w:asciiTheme="majorHAnsi" w:hAnsiTheme="majorHAnsi" w:cstheme="majorHAnsi"/>
          <w:sz w:val="28"/>
          <w:szCs w:val="28"/>
        </w:rPr>
        <w:t xml:space="preserve"> de modes de charge.</w:t>
      </w:r>
    </w:p>
    <w:p w14:paraId="31111EC0" w14:textId="6BAC9B0E" w:rsidR="00630C89" w:rsidRPr="00C659D0" w:rsidRDefault="00630C89">
      <w:pPr>
        <w:rPr>
          <w:rFonts w:asciiTheme="majorHAnsi" w:hAnsiTheme="majorHAnsi" w:cstheme="majorHAnsi"/>
          <w:sz w:val="28"/>
          <w:szCs w:val="28"/>
        </w:rPr>
      </w:pPr>
      <w:r w:rsidRPr="00C659D0">
        <w:rPr>
          <w:rFonts w:asciiTheme="majorHAnsi" w:hAnsiTheme="majorHAnsi" w:cstheme="majorHAnsi"/>
          <w:sz w:val="28"/>
          <w:szCs w:val="28"/>
        </w:rPr>
        <w:t xml:space="preserve">Deux modes de </w:t>
      </w:r>
      <w:r w:rsidR="00F823F1" w:rsidRPr="00C659D0">
        <w:rPr>
          <w:rFonts w:asciiTheme="majorHAnsi" w:hAnsiTheme="majorHAnsi" w:cstheme="majorHAnsi"/>
          <w:sz w:val="28"/>
          <w:szCs w:val="28"/>
        </w:rPr>
        <w:t>paramétrage</w:t>
      </w:r>
      <w:r w:rsidRPr="00C659D0">
        <w:rPr>
          <w:rFonts w:asciiTheme="majorHAnsi" w:hAnsiTheme="majorHAnsi" w:cstheme="majorHAnsi"/>
          <w:sz w:val="28"/>
          <w:szCs w:val="28"/>
        </w:rPr>
        <w:t xml:space="preserve"> s’offrent à l’utilisateur à savoir : en utilisant </w:t>
      </w:r>
      <w:r w:rsidR="00F823F1" w:rsidRPr="00C659D0">
        <w:rPr>
          <w:rFonts w:asciiTheme="majorHAnsi" w:hAnsiTheme="majorHAnsi" w:cstheme="majorHAnsi"/>
          <w:sz w:val="28"/>
          <w:szCs w:val="28"/>
        </w:rPr>
        <w:t>les deux séries</w:t>
      </w:r>
      <w:r w:rsidRPr="00C659D0">
        <w:rPr>
          <w:rFonts w:asciiTheme="majorHAnsi" w:hAnsiTheme="majorHAnsi" w:cstheme="majorHAnsi"/>
          <w:sz w:val="28"/>
          <w:szCs w:val="28"/>
        </w:rPr>
        <w:t xml:space="preserve"> de </w:t>
      </w:r>
      <w:proofErr w:type="spellStart"/>
      <w:r w:rsidR="00F823F1" w:rsidRPr="00C659D0">
        <w:rPr>
          <w:rFonts w:asciiTheme="majorHAnsi" w:hAnsiTheme="majorHAnsi" w:cstheme="majorHAnsi"/>
          <w:sz w:val="28"/>
          <w:szCs w:val="28"/>
        </w:rPr>
        <w:t>switchs</w:t>
      </w:r>
      <w:proofErr w:type="spellEnd"/>
      <w:r w:rsidRPr="00C659D0">
        <w:rPr>
          <w:rFonts w:asciiTheme="majorHAnsi" w:hAnsiTheme="majorHAnsi" w:cstheme="majorHAnsi"/>
          <w:sz w:val="28"/>
          <w:szCs w:val="28"/>
        </w:rPr>
        <w:t xml:space="preserve"> S1 et S2 du module de contrôle comme illustré dans la documentation </w:t>
      </w:r>
      <w:r w:rsidR="00F823F1" w:rsidRPr="00C659D0">
        <w:rPr>
          <w:rFonts w:asciiTheme="majorHAnsi" w:hAnsiTheme="majorHAnsi" w:cstheme="majorHAnsi"/>
          <w:sz w:val="28"/>
          <w:szCs w:val="28"/>
        </w:rPr>
        <w:t xml:space="preserve">ci-dessous </w:t>
      </w:r>
      <w:r w:rsidRPr="00C659D0">
        <w:rPr>
          <w:rFonts w:asciiTheme="majorHAnsi" w:hAnsiTheme="majorHAnsi" w:cstheme="majorHAnsi"/>
          <w:sz w:val="28"/>
          <w:szCs w:val="28"/>
        </w:rPr>
        <w:t>ou par programme par la liaison RS-484 en Modbus.</w:t>
      </w:r>
    </w:p>
    <w:p w14:paraId="7AF87A8C" w14:textId="3594285C" w:rsidR="00F823F1" w:rsidRDefault="00F823F1">
      <w:r>
        <w:rPr>
          <w:noProof/>
        </w:rPr>
        <w:lastRenderedPageBreak/>
        <w:drawing>
          <wp:inline distT="0" distB="0" distL="0" distR="0" wp14:anchorId="5F27D85A" wp14:editId="42BEA223">
            <wp:extent cx="6840220" cy="261175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840220" cy="2611755"/>
                    </a:xfrm>
                    <a:prstGeom prst="rect">
                      <a:avLst/>
                    </a:prstGeom>
                  </pic:spPr>
                </pic:pic>
              </a:graphicData>
            </a:graphic>
          </wp:inline>
        </w:drawing>
      </w:r>
    </w:p>
    <w:p w14:paraId="0FDD1370" w14:textId="746519C8" w:rsidR="00B82660" w:rsidRDefault="00B82660">
      <w:r>
        <w:br w:type="page"/>
      </w:r>
    </w:p>
    <w:p w14:paraId="659B00AB" w14:textId="21B3AD5A" w:rsidR="001B1EEE" w:rsidRDefault="00B82660">
      <w:r>
        <w:lastRenderedPageBreak/>
        <w:t>Paramètres de configuration du contrôleur de charge</w:t>
      </w:r>
    </w:p>
    <w:p w14:paraId="688BEDB8" w14:textId="528B4B04" w:rsidR="00B82660" w:rsidRDefault="00B82660">
      <w:r>
        <w:t>Procéder à la configuration du module contrôleur selon le document suivant :</w:t>
      </w:r>
    </w:p>
    <w:p w14:paraId="34B66291" w14:textId="44C9AC73" w:rsidR="00B82660" w:rsidRDefault="00B82660">
      <w:r>
        <w:rPr>
          <w:noProof/>
        </w:rPr>
        <w:drawing>
          <wp:inline distT="0" distB="0" distL="0" distR="0" wp14:anchorId="4FCD3904" wp14:editId="47ADF016">
            <wp:extent cx="6945086" cy="6076950"/>
            <wp:effectExtent l="0" t="0" r="825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71399" cy="6099974"/>
                    </a:xfrm>
                    <a:prstGeom prst="rect">
                      <a:avLst/>
                    </a:prstGeom>
                    <a:noFill/>
                    <a:ln>
                      <a:noFill/>
                    </a:ln>
                  </pic:spPr>
                </pic:pic>
              </a:graphicData>
            </a:graphic>
          </wp:inline>
        </w:drawing>
      </w:r>
    </w:p>
    <w:p w14:paraId="07E98302" w14:textId="25570D1F" w:rsidR="00B82660" w:rsidRDefault="00B82660">
      <w:r>
        <w:t>Prise en main du TGBT d’éclairage public</w:t>
      </w:r>
    </w:p>
    <w:p w14:paraId="179F1B1B" w14:textId="645C6D8F" w:rsidR="00B82660" w:rsidRDefault="00B82660">
      <w:r>
        <w:t>Lorsque les taches de vérification ont toutes été réalisées et validées, demander au chargé de travaux</w:t>
      </w:r>
    </w:p>
    <w:p w14:paraId="48E3EAD4" w14:textId="2366198D" w:rsidR="00B82660" w:rsidRDefault="00B82660">
      <w:r>
        <w:t>(Professeur) l’autorisation de procéder à la mise sous tension.</w:t>
      </w:r>
    </w:p>
    <w:p w14:paraId="0D716FE8" w14:textId="1EEEED99" w:rsidR="00B82660" w:rsidRDefault="00B82660"/>
    <w:p w14:paraId="67F54BF3" w14:textId="77777777" w:rsidR="00A41089" w:rsidRDefault="00A41089">
      <w:pPr>
        <w:rPr>
          <w:b/>
          <w:bCs/>
        </w:rPr>
      </w:pPr>
    </w:p>
    <w:p w14:paraId="7CB34D40" w14:textId="77777777" w:rsidR="00A41089" w:rsidRDefault="00A41089">
      <w:pPr>
        <w:rPr>
          <w:b/>
          <w:bCs/>
        </w:rPr>
      </w:pPr>
    </w:p>
    <w:p w14:paraId="07C80A9E" w14:textId="77777777" w:rsidR="00A41089" w:rsidRDefault="00A41089">
      <w:pPr>
        <w:rPr>
          <w:b/>
          <w:bCs/>
        </w:rPr>
      </w:pPr>
    </w:p>
    <w:p w14:paraId="1DAFCD37" w14:textId="77777777" w:rsidR="00A41089" w:rsidRDefault="00A41089">
      <w:pPr>
        <w:rPr>
          <w:b/>
          <w:bCs/>
        </w:rPr>
      </w:pPr>
    </w:p>
    <w:p w14:paraId="1C4520A2" w14:textId="77777777" w:rsidR="00A41089" w:rsidRDefault="00A41089">
      <w:pPr>
        <w:rPr>
          <w:b/>
          <w:bCs/>
        </w:rPr>
      </w:pPr>
    </w:p>
    <w:p w14:paraId="4F1DC2F9" w14:textId="23019E86" w:rsidR="00B82660" w:rsidRDefault="00B82660">
      <w:r w:rsidRPr="00B82660">
        <w:rPr>
          <w:b/>
          <w:bCs/>
        </w:rPr>
        <w:lastRenderedPageBreak/>
        <w:t>Compléter</w:t>
      </w:r>
      <w:r>
        <w:t xml:space="preserve"> le tableau ci-après afin de valider le fonctionnement de l’installation</w:t>
      </w:r>
    </w:p>
    <w:p w14:paraId="102B52F3" w14:textId="77777777" w:rsidR="00A41089" w:rsidRDefault="00A41089"/>
    <w:tbl>
      <w:tblPr>
        <w:tblStyle w:val="Grilledutableau"/>
        <w:tblW w:w="0" w:type="auto"/>
        <w:jc w:val="center"/>
        <w:tblLook w:val="04A0" w:firstRow="1" w:lastRow="0" w:firstColumn="1" w:lastColumn="0" w:noHBand="0" w:noVBand="1"/>
      </w:tblPr>
      <w:tblGrid>
        <w:gridCol w:w="1129"/>
        <w:gridCol w:w="4251"/>
        <w:gridCol w:w="1561"/>
      </w:tblGrid>
      <w:tr w:rsidR="00B82660" w:rsidRPr="00B82660" w14:paraId="7E2F5117" w14:textId="77777777" w:rsidTr="00A41089">
        <w:trPr>
          <w:trHeight w:val="409"/>
          <w:jc w:val="center"/>
        </w:trPr>
        <w:tc>
          <w:tcPr>
            <w:tcW w:w="1129" w:type="dxa"/>
            <w:shd w:val="pct10" w:color="auto" w:fill="auto"/>
            <w:vAlign w:val="center"/>
          </w:tcPr>
          <w:p w14:paraId="525408DC" w14:textId="5E9F034A" w:rsidR="00B82660" w:rsidRPr="00B82660" w:rsidRDefault="00B82660" w:rsidP="00B82660">
            <w:pPr>
              <w:jc w:val="center"/>
              <w:rPr>
                <w:b/>
                <w:bCs/>
              </w:rPr>
            </w:pPr>
            <w:r w:rsidRPr="00B82660">
              <w:rPr>
                <w:b/>
                <w:bCs/>
              </w:rPr>
              <w:t>Etape</w:t>
            </w:r>
          </w:p>
        </w:tc>
        <w:tc>
          <w:tcPr>
            <w:tcW w:w="4251" w:type="dxa"/>
            <w:shd w:val="pct10" w:color="auto" w:fill="auto"/>
            <w:vAlign w:val="center"/>
          </w:tcPr>
          <w:p w14:paraId="7CE4B2A4" w14:textId="49B74D84" w:rsidR="00B82660" w:rsidRPr="00B82660" w:rsidRDefault="00B82660" w:rsidP="00B82660">
            <w:pPr>
              <w:jc w:val="center"/>
              <w:rPr>
                <w:b/>
                <w:bCs/>
              </w:rPr>
            </w:pPr>
            <w:r w:rsidRPr="00B82660">
              <w:rPr>
                <w:b/>
                <w:bCs/>
              </w:rPr>
              <w:t>Mise en service</w:t>
            </w:r>
          </w:p>
        </w:tc>
        <w:tc>
          <w:tcPr>
            <w:tcW w:w="1561" w:type="dxa"/>
            <w:shd w:val="pct10" w:color="auto" w:fill="auto"/>
            <w:vAlign w:val="center"/>
          </w:tcPr>
          <w:p w14:paraId="6CA62BCC" w14:textId="114A0CBC" w:rsidR="00B82660" w:rsidRPr="00B82660" w:rsidRDefault="00062507" w:rsidP="00B82660">
            <w:pPr>
              <w:jc w:val="center"/>
              <w:rPr>
                <w:b/>
                <w:bCs/>
              </w:rPr>
            </w:pPr>
            <w:r>
              <w:rPr>
                <w:b/>
                <w:bCs/>
              </w:rPr>
              <w:t>Validation</w:t>
            </w:r>
          </w:p>
        </w:tc>
      </w:tr>
      <w:tr w:rsidR="00B82660" w14:paraId="564BE6C6" w14:textId="77777777" w:rsidTr="00A41089">
        <w:trPr>
          <w:trHeight w:val="397"/>
          <w:jc w:val="center"/>
        </w:trPr>
        <w:tc>
          <w:tcPr>
            <w:tcW w:w="1129" w:type="dxa"/>
            <w:vAlign w:val="center"/>
          </w:tcPr>
          <w:p w14:paraId="7846C99A" w14:textId="66A21D7D" w:rsidR="00B82660" w:rsidRDefault="00B82660" w:rsidP="00062507">
            <w:pPr>
              <w:jc w:val="center"/>
            </w:pPr>
            <w:r>
              <w:t>1</w:t>
            </w:r>
          </w:p>
        </w:tc>
        <w:tc>
          <w:tcPr>
            <w:tcW w:w="4251" w:type="dxa"/>
            <w:vAlign w:val="center"/>
          </w:tcPr>
          <w:p w14:paraId="4EB108AA" w14:textId="7DD60576" w:rsidR="00B82660" w:rsidRDefault="00062507" w:rsidP="00062507">
            <w:r>
              <w:t>La mise sous tension autorisée</w:t>
            </w:r>
          </w:p>
        </w:tc>
        <w:tc>
          <w:tcPr>
            <w:tcW w:w="1561" w:type="dxa"/>
          </w:tcPr>
          <w:p w14:paraId="78A63500" w14:textId="77777777" w:rsidR="00B82660" w:rsidRDefault="00B82660" w:rsidP="00062507">
            <w:pPr>
              <w:jc w:val="center"/>
            </w:pPr>
          </w:p>
        </w:tc>
      </w:tr>
      <w:tr w:rsidR="00B82660" w14:paraId="1CE05C8A" w14:textId="77777777" w:rsidTr="00A41089">
        <w:trPr>
          <w:trHeight w:val="397"/>
          <w:jc w:val="center"/>
        </w:trPr>
        <w:tc>
          <w:tcPr>
            <w:tcW w:w="1129" w:type="dxa"/>
            <w:vAlign w:val="center"/>
          </w:tcPr>
          <w:p w14:paraId="38E11B7D" w14:textId="74522F7B" w:rsidR="00B82660" w:rsidRDefault="00B82660" w:rsidP="00062507">
            <w:pPr>
              <w:jc w:val="center"/>
            </w:pPr>
            <w:r>
              <w:t>2</w:t>
            </w:r>
          </w:p>
        </w:tc>
        <w:tc>
          <w:tcPr>
            <w:tcW w:w="4251" w:type="dxa"/>
            <w:vAlign w:val="center"/>
          </w:tcPr>
          <w:p w14:paraId="2EE850EB" w14:textId="0496BBFD" w:rsidR="00B82660" w:rsidRDefault="00062507" w:rsidP="00062507">
            <w:r>
              <w:t>Fermer AGCP</w:t>
            </w:r>
          </w:p>
        </w:tc>
        <w:tc>
          <w:tcPr>
            <w:tcW w:w="1561" w:type="dxa"/>
          </w:tcPr>
          <w:p w14:paraId="21751E4A" w14:textId="77777777" w:rsidR="00B82660" w:rsidRDefault="00B82660" w:rsidP="00062507">
            <w:pPr>
              <w:jc w:val="center"/>
            </w:pPr>
          </w:p>
        </w:tc>
      </w:tr>
      <w:tr w:rsidR="00B82660" w14:paraId="771B1FDB" w14:textId="77777777" w:rsidTr="00A41089">
        <w:trPr>
          <w:trHeight w:val="397"/>
          <w:jc w:val="center"/>
        </w:trPr>
        <w:tc>
          <w:tcPr>
            <w:tcW w:w="1129" w:type="dxa"/>
            <w:vAlign w:val="center"/>
          </w:tcPr>
          <w:p w14:paraId="39A4C003" w14:textId="0FF4712E" w:rsidR="00B82660" w:rsidRDefault="00B82660" w:rsidP="00062507">
            <w:pPr>
              <w:jc w:val="center"/>
            </w:pPr>
            <w:r>
              <w:t>3</w:t>
            </w:r>
          </w:p>
        </w:tc>
        <w:tc>
          <w:tcPr>
            <w:tcW w:w="4251" w:type="dxa"/>
            <w:vAlign w:val="center"/>
          </w:tcPr>
          <w:p w14:paraId="0067030B" w14:textId="245C7390" w:rsidR="00B82660" w:rsidRDefault="00062507" w:rsidP="00062507">
            <w:r>
              <w:t>Fermer DJPF</w:t>
            </w:r>
          </w:p>
        </w:tc>
        <w:tc>
          <w:tcPr>
            <w:tcW w:w="1561" w:type="dxa"/>
          </w:tcPr>
          <w:p w14:paraId="0AEC6935" w14:textId="77777777" w:rsidR="00B82660" w:rsidRDefault="00B82660" w:rsidP="00062507">
            <w:pPr>
              <w:jc w:val="center"/>
            </w:pPr>
          </w:p>
        </w:tc>
      </w:tr>
      <w:tr w:rsidR="00B82660" w14:paraId="72CE1364" w14:textId="77777777" w:rsidTr="00A41089">
        <w:trPr>
          <w:trHeight w:val="397"/>
          <w:jc w:val="center"/>
        </w:trPr>
        <w:tc>
          <w:tcPr>
            <w:tcW w:w="1129" w:type="dxa"/>
            <w:vAlign w:val="center"/>
          </w:tcPr>
          <w:p w14:paraId="735E4E97" w14:textId="2FA6AFFA" w:rsidR="00B82660" w:rsidRDefault="00B82660" w:rsidP="00062507">
            <w:pPr>
              <w:jc w:val="center"/>
            </w:pPr>
            <w:r>
              <w:t>4</w:t>
            </w:r>
          </w:p>
        </w:tc>
        <w:tc>
          <w:tcPr>
            <w:tcW w:w="4251" w:type="dxa"/>
            <w:vAlign w:val="center"/>
          </w:tcPr>
          <w:p w14:paraId="03F9FA49" w14:textId="6CB11049" w:rsidR="00B82660" w:rsidRDefault="00062507" w:rsidP="00062507">
            <w:r>
              <w:t>Fermer DJ1</w:t>
            </w:r>
          </w:p>
        </w:tc>
        <w:tc>
          <w:tcPr>
            <w:tcW w:w="1561" w:type="dxa"/>
          </w:tcPr>
          <w:p w14:paraId="280366B6" w14:textId="77777777" w:rsidR="00B82660" w:rsidRDefault="00B82660" w:rsidP="00062507">
            <w:pPr>
              <w:jc w:val="center"/>
            </w:pPr>
          </w:p>
        </w:tc>
      </w:tr>
      <w:tr w:rsidR="00B82660" w14:paraId="3F531F06" w14:textId="77777777" w:rsidTr="00A41089">
        <w:trPr>
          <w:trHeight w:val="397"/>
          <w:jc w:val="center"/>
        </w:trPr>
        <w:tc>
          <w:tcPr>
            <w:tcW w:w="1129" w:type="dxa"/>
            <w:vAlign w:val="center"/>
          </w:tcPr>
          <w:p w14:paraId="5CC37921" w14:textId="28B9E17D" w:rsidR="00B82660" w:rsidRDefault="00B82660" w:rsidP="00062507">
            <w:pPr>
              <w:jc w:val="center"/>
            </w:pPr>
            <w:r>
              <w:t>5</w:t>
            </w:r>
          </w:p>
        </w:tc>
        <w:tc>
          <w:tcPr>
            <w:tcW w:w="4251" w:type="dxa"/>
            <w:vAlign w:val="center"/>
          </w:tcPr>
          <w:p w14:paraId="520ADE20" w14:textId="4F211E7B" w:rsidR="00B82660" w:rsidRDefault="007F36D6" w:rsidP="00062507">
            <w:r>
              <w:t>Fermer DJCRVE1</w:t>
            </w:r>
          </w:p>
        </w:tc>
        <w:tc>
          <w:tcPr>
            <w:tcW w:w="1561" w:type="dxa"/>
          </w:tcPr>
          <w:p w14:paraId="05F84420" w14:textId="77777777" w:rsidR="00B82660" w:rsidRDefault="00B82660" w:rsidP="00062507">
            <w:pPr>
              <w:jc w:val="center"/>
            </w:pPr>
          </w:p>
        </w:tc>
      </w:tr>
      <w:tr w:rsidR="007F36D6" w14:paraId="29184D70" w14:textId="77777777" w:rsidTr="00A41089">
        <w:trPr>
          <w:trHeight w:val="397"/>
          <w:jc w:val="center"/>
        </w:trPr>
        <w:tc>
          <w:tcPr>
            <w:tcW w:w="1129" w:type="dxa"/>
            <w:vAlign w:val="center"/>
          </w:tcPr>
          <w:p w14:paraId="3760C67C" w14:textId="245F8068" w:rsidR="007F36D6" w:rsidRDefault="007F36D6" w:rsidP="00062507">
            <w:pPr>
              <w:jc w:val="center"/>
            </w:pPr>
            <w:r>
              <w:t>6</w:t>
            </w:r>
          </w:p>
        </w:tc>
        <w:tc>
          <w:tcPr>
            <w:tcW w:w="4251" w:type="dxa"/>
            <w:vAlign w:val="center"/>
          </w:tcPr>
          <w:p w14:paraId="16AB6176" w14:textId="470B22C2" w:rsidR="007F36D6" w:rsidRDefault="007F36D6" w:rsidP="00062507">
            <w:r>
              <w:t>Fermer DJDP1</w:t>
            </w:r>
          </w:p>
        </w:tc>
        <w:tc>
          <w:tcPr>
            <w:tcW w:w="1561" w:type="dxa"/>
          </w:tcPr>
          <w:p w14:paraId="47C69A3F" w14:textId="77777777" w:rsidR="007F36D6" w:rsidRDefault="007F36D6" w:rsidP="00062507">
            <w:pPr>
              <w:jc w:val="center"/>
            </w:pPr>
          </w:p>
        </w:tc>
      </w:tr>
      <w:tr w:rsidR="007F36D6" w14:paraId="3020805E" w14:textId="77777777" w:rsidTr="00A41089">
        <w:trPr>
          <w:trHeight w:val="397"/>
          <w:jc w:val="center"/>
        </w:trPr>
        <w:tc>
          <w:tcPr>
            <w:tcW w:w="1129" w:type="dxa"/>
            <w:vAlign w:val="center"/>
          </w:tcPr>
          <w:p w14:paraId="5A5780B7" w14:textId="69E9571C" w:rsidR="007F36D6" w:rsidRDefault="007F36D6" w:rsidP="00062507">
            <w:pPr>
              <w:jc w:val="center"/>
            </w:pPr>
            <w:r>
              <w:t>7</w:t>
            </w:r>
          </w:p>
        </w:tc>
        <w:tc>
          <w:tcPr>
            <w:tcW w:w="4251" w:type="dxa"/>
            <w:vAlign w:val="center"/>
          </w:tcPr>
          <w:p w14:paraId="69F1E257" w14:textId="70C7804A" w:rsidR="007F36D6" w:rsidRDefault="007F36D6" w:rsidP="00062507">
            <w:r>
              <w:t>Fermer DJL1</w:t>
            </w:r>
          </w:p>
        </w:tc>
        <w:tc>
          <w:tcPr>
            <w:tcW w:w="1561" w:type="dxa"/>
          </w:tcPr>
          <w:p w14:paraId="7F851917" w14:textId="77777777" w:rsidR="007F36D6" w:rsidRDefault="007F36D6" w:rsidP="00062507">
            <w:pPr>
              <w:jc w:val="center"/>
            </w:pPr>
          </w:p>
        </w:tc>
      </w:tr>
      <w:tr w:rsidR="007F36D6" w14:paraId="606779DC" w14:textId="77777777" w:rsidTr="00A41089">
        <w:trPr>
          <w:trHeight w:val="397"/>
          <w:jc w:val="center"/>
        </w:trPr>
        <w:tc>
          <w:tcPr>
            <w:tcW w:w="1129" w:type="dxa"/>
            <w:vAlign w:val="center"/>
          </w:tcPr>
          <w:p w14:paraId="30C60A8F" w14:textId="37BFB985" w:rsidR="007F36D6" w:rsidRDefault="007F36D6" w:rsidP="00062507">
            <w:pPr>
              <w:jc w:val="center"/>
            </w:pPr>
            <w:r>
              <w:t>8</w:t>
            </w:r>
          </w:p>
        </w:tc>
        <w:tc>
          <w:tcPr>
            <w:tcW w:w="4251" w:type="dxa"/>
            <w:vAlign w:val="center"/>
          </w:tcPr>
          <w:p w14:paraId="388FDDE0" w14:textId="5E9C7810" w:rsidR="007F36D6" w:rsidRDefault="007F36D6" w:rsidP="00062507">
            <w:r>
              <w:t>Fermer DJPF2</w:t>
            </w:r>
          </w:p>
        </w:tc>
        <w:tc>
          <w:tcPr>
            <w:tcW w:w="1561" w:type="dxa"/>
          </w:tcPr>
          <w:p w14:paraId="023FB09F" w14:textId="77777777" w:rsidR="007F36D6" w:rsidRDefault="007F36D6" w:rsidP="00062507">
            <w:pPr>
              <w:jc w:val="center"/>
            </w:pPr>
          </w:p>
        </w:tc>
      </w:tr>
    </w:tbl>
    <w:p w14:paraId="428380EC" w14:textId="6919E6B4" w:rsidR="00B82660" w:rsidRDefault="00B82660"/>
    <w:p w14:paraId="21B46A99" w14:textId="47E9A3A1" w:rsidR="00A41089" w:rsidRDefault="00A41089">
      <w:r>
        <w:t xml:space="preserve">Configuration de la </w:t>
      </w:r>
      <w:proofErr w:type="spellStart"/>
      <w:r>
        <w:t>camére</w:t>
      </w:r>
      <w:proofErr w:type="spellEnd"/>
    </w:p>
    <w:p w14:paraId="69373333" w14:textId="05B411F5" w:rsidR="00A41089" w:rsidRDefault="00A41089"/>
    <w:p w14:paraId="6821A317" w14:textId="4CAF2F41" w:rsidR="00A41089" w:rsidRDefault="00A41089">
      <w:r>
        <w:t xml:space="preserve">La camera intégrée au mât du lampadaire permet de visualiser la rue par faible ou foret luminosité et </w:t>
      </w:r>
      <w:r w:rsidR="00720C6A">
        <w:t>même</w:t>
      </w:r>
      <w:r>
        <w:t xml:space="preserve"> en contre-jour puisque l’image est optimisée. La vidéo est ensuite transmise via le </w:t>
      </w:r>
      <w:r w:rsidR="00720C6A">
        <w:t>câble</w:t>
      </w:r>
      <w:r>
        <w:t xml:space="preserve"> RJ45 à un switch PoE (Power over Ethernet) permettant ensuite de la rediriger vers un ordinateur local pour réaliser la configuration ou vers le centre de supervision en passant par le routeur comme illustré sur le document suivant :</w:t>
      </w:r>
    </w:p>
    <w:p w14:paraId="05833BAE" w14:textId="650BD09B" w:rsidR="00A41089" w:rsidRDefault="00A41089">
      <w:r>
        <w:rPr>
          <w:noProof/>
        </w:rPr>
        <w:drawing>
          <wp:inline distT="0" distB="0" distL="0" distR="0" wp14:anchorId="2EEECF8E" wp14:editId="4A3D5A3D">
            <wp:extent cx="3935805" cy="2581275"/>
            <wp:effectExtent l="0" t="0" r="762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55312" cy="2594069"/>
                    </a:xfrm>
                    <a:prstGeom prst="rect">
                      <a:avLst/>
                    </a:prstGeom>
                    <a:noFill/>
                    <a:ln>
                      <a:noFill/>
                    </a:ln>
                  </pic:spPr>
                </pic:pic>
              </a:graphicData>
            </a:graphic>
          </wp:inline>
        </w:drawing>
      </w:r>
    </w:p>
    <w:p w14:paraId="114EAC78" w14:textId="2EBBBA0A" w:rsidR="00A41089" w:rsidRDefault="00A41089"/>
    <w:p w14:paraId="72DCF057" w14:textId="2A00A9D2" w:rsidR="00A41089" w:rsidRDefault="00A41089">
      <w:r>
        <w:t>En consultant le cahier des charges, indiquer l’adresse devant être affectée à la caméra n°1 en précisant sa classe. La configuration.</w:t>
      </w:r>
    </w:p>
    <w:p w14:paraId="767F940F" w14:textId="77777777" w:rsidR="00A41089" w:rsidRDefault="00A41089"/>
    <w:p w14:paraId="1542CBF5" w14:textId="77B4A2E2" w:rsidR="00A41089" w:rsidRDefault="00A41089">
      <w:r>
        <w:t>…………………….…………………….…………………….…………………….…………………….…………………….…………………….…………………….………</w:t>
      </w:r>
    </w:p>
    <w:p w14:paraId="67D9A2DF" w14:textId="234A3F12" w:rsidR="00720C6A" w:rsidRDefault="00720C6A"/>
    <w:p w14:paraId="72626B41" w14:textId="0B0692A2" w:rsidR="00720C6A" w:rsidRDefault="00720C6A">
      <w:r w:rsidRPr="00720C6A">
        <w:rPr>
          <w:b/>
          <w:bCs/>
        </w:rPr>
        <w:t>Configurer</w:t>
      </w:r>
      <w:r>
        <w:t xml:space="preserve"> la caméra en suivant la fiche de procédure et valider chacune des étapes.</w:t>
      </w:r>
    </w:p>
    <w:p w14:paraId="16340C46" w14:textId="65C78E7A" w:rsidR="00720C6A" w:rsidRDefault="00720C6A"/>
    <w:p w14:paraId="33B1CF3D" w14:textId="1034736C" w:rsidR="00720C6A" w:rsidRDefault="00720C6A">
      <w:r>
        <w:lastRenderedPageBreak/>
        <w:t>Fiche de livraison :</w:t>
      </w:r>
    </w:p>
    <w:p w14:paraId="473C9CF9" w14:textId="77777777" w:rsidR="00720C6A" w:rsidRDefault="00720C6A"/>
    <w:sectPr w:rsidR="00720C6A" w:rsidSect="008339DA">
      <w:pgSz w:w="11906" w:h="16838"/>
      <w:pgMar w:top="567" w:right="567" w:bottom="1418"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9DA"/>
    <w:rsid w:val="00062507"/>
    <w:rsid w:val="001B1EEE"/>
    <w:rsid w:val="001B6135"/>
    <w:rsid w:val="002F277F"/>
    <w:rsid w:val="00630C89"/>
    <w:rsid w:val="00720C6A"/>
    <w:rsid w:val="007F36D6"/>
    <w:rsid w:val="008339DA"/>
    <w:rsid w:val="00A41089"/>
    <w:rsid w:val="00B33C73"/>
    <w:rsid w:val="00B82660"/>
    <w:rsid w:val="00C659D0"/>
    <w:rsid w:val="00F823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B0A18"/>
  <w15:chartTrackingRefBased/>
  <w15:docId w15:val="{A85BDC4B-3C6C-410E-B58A-9AA10F100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659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F2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C659D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5</Pages>
  <Words>450</Words>
  <Characters>2475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rateau</dc:creator>
  <cp:keywords/>
  <dc:description/>
  <cp:lastModifiedBy>sebastien rateau</cp:lastModifiedBy>
  <cp:revision>9</cp:revision>
  <dcterms:created xsi:type="dcterms:W3CDTF">2020-05-24T17:28:00Z</dcterms:created>
  <dcterms:modified xsi:type="dcterms:W3CDTF">2020-05-29T13:33:00Z</dcterms:modified>
</cp:coreProperties>
</file>